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/>
        <w:ind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>
      <w:pPr>
        <w:pStyle w:val="Normal"/>
        <w:spacing w:lineRule="auto" w:line="36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1"/>
        <w:spacing w:lineRule="auto" w:line="360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822" w:type="dxa"/>
        <w:jc w:val="left"/>
        <w:tblInd w:w="-25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59"/>
        <w:gridCol w:w="3360"/>
        <w:gridCol w:w="3103"/>
      </w:tblGrid>
      <w:tr>
        <w:trPr/>
        <w:tc>
          <w:tcPr>
            <w:tcW w:w="335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05 августа 2022 г.</w:t>
            </w:r>
          </w:p>
        </w:tc>
        <w:tc>
          <w:tcPr>
            <w:tcW w:w="3360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№ </w:t>
            </w:r>
            <w:r>
              <w:rPr>
                <w:szCs w:val="28"/>
              </w:rPr>
              <w:t>45/319</w:t>
            </w:r>
          </w:p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</w:tr>
    </w:tbl>
    <w:p>
      <w:pPr>
        <w:pStyle w:val="BodyTextIndent3"/>
        <w:rPr/>
      </w:pPr>
      <w:r>
        <w:rPr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О количестве и распределении избирательных бюллетеней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для голосования на выборах депутатов Советов депутатов муниципальных образований городского и сельских поселений   Старожиловского муниципального района Рязанской области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по участковым избирательным комиссиям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7"/>
        <w:keepNext w:val="false"/>
        <w:widowControl/>
        <w:spacing w:lineRule="auto" w:line="360"/>
        <w:jc w:val="both"/>
        <w:rPr>
          <w:b w:val="false"/>
          <w:b w:val="false"/>
        </w:rPr>
      </w:pPr>
      <w:r>
        <w:rPr>
          <w:b w:val="false"/>
        </w:rPr>
        <w:t xml:space="preserve">       </w:t>
      </w:r>
      <w:r>
        <w:rPr>
          <w:b w:val="false"/>
        </w:rPr>
        <w:t xml:space="preserve">В соответствии со статьей  60 Закона Рязанской области  от 05 августа 2011 года № 63-ОЗ «О выборах депутатов представительного органа муниципального образования в Рязанской области» и решением  территориальной избирательной комиссии Старожиловского района Рязанской области от 22 июля 2022 года № 38/189 «О вопросах, связанных с изготовлением и доставкой избирательных бюллетеней для голосования на выборах </w:t>
      </w:r>
      <w:r>
        <w:rPr>
          <w:rFonts w:eastAsia="Calibri"/>
          <w:b w:val="false"/>
          <w:bCs w:val="false"/>
          <w:lang w:eastAsia="en-US"/>
        </w:rPr>
        <w:t>депутатов Советов депутатов муниципальных образований городского и сельских поселений Старожиловского муниципального района Рязанской области 11 сентября 2022 года</w:t>
      </w:r>
      <w:r>
        <w:rPr>
          <w:b w:val="false"/>
        </w:rPr>
        <w:t>» территориальная  избирательная комиссия Старожиловского района Рязанской области   р е ш и л а: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</w:t>
        <w:tab/>
        <w:t xml:space="preserve">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Гребневское сельское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 xml:space="preserve">- 1230 штук.  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</w:t>
        <w:tab/>
        <w:t xml:space="preserve">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Гулынское сельское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 xml:space="preserve">- 900 штук.  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3.</w:t>
        <w:tab/>
        <w:t xml:space="preserve">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Истьинское сельское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 xml:space="preserve">- 1850 штук.  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4. 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Ленинское сельское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>- 1530 штук.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5. 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Мелекшинское сельское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>- 900 штук.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6. 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Столпянское сельское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>- 850 штук.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7. 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– Старожиловское городское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(многомандатный избирательный округ № 1) </w:t>
      </w:r>
      <w:r>
        <w:rPr>
          <w:szCs w:val="28"/>
        </w:rPr>
        <w:t>-  2650 штук.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8. Утвердить количество избирательных бюллетеней для голосования на выборах </w:t>
      </w:r>
      <w:r>
        <w:rPr>
          <w:rFonts w:eastAsia="Calibri"/>
          <w:lang w:eastAsia="en-US"/>
        </w:rPr>
        <w:t xml:space="preserve">депутатов Совета депутатов муниципального образования - Старожиловское городское поселение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(многомандатный избирательный округ № 2)</w:t>
      </w:r>
      <w:r>
        <w:rPr>
          <w:szCs w:val="28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szCs w:val="28"/>
        </w:rPr>
        <w:t>- 2390 штук.</w:t>
      </w:r>
    </w:p>
    <w:p>
      <w:pPr>
        <w:pStyle w:val="7"/>
        <w:keepNext w:val="false"/>
        <w:widowControl/>
        <w:spacing w:lineRule="auto" w:line="360"/>
        <w:ind w:firstLine="567"/>
        <w:jc w:val="both"/>
        <w:rPr>
          <w:b w:val="false"/>
          <w:b w:val="false"/>
        </w:rPr>
      </w:pPr>
      <w:r>
        <w:rPr>
          <w:b w:val="false"/>
        </w:rPr>
        <w:t>9.</w:t>
        <w:tab/>
        <w:t>Территориальной избирательной комиссии Рязанской области обеспечить изготовление избирательных бюллетеней для голосования на выборах депутатов Советов депутатов муниципальных образований городского и сельских поселений   Старожиловского муниципального района Рязанской области</w:t>
      </w:r>
      <w:r>
        <w:rPr>
          <w:rFonts w:eastAsia="Calibri"/>
          <w:b w:val="false"/>
          <w:lang w:eastAsia="en-US"/>
        </w:rPr>
        <w:t xml:space="preserve"> </w:t>
      </w:r>
      <w:r>
        <w:rPr>
          <w:b w:val="false"/>
        </w:rPr>
        <w:t xml:space="preserve">в соответствии с требованиями, утвержденными решением  территориальной избирательной комиссии Старожиловского района Рязанской области от 22 июля 2022 года № 38/189 «О вопросах, связанных с изготовлением и доставкой избирательных бюллетеней для голосования на выборах </w:t>
      </w:r>
      <w:r>
        <w:rPr>
          <w:rFonts w:eastAsia="Calibri"/>
          <w:b w:val="false"/>
          <w:lang w:eastAsia="en-US"/>
        </w:rPr>
        <w:t>депутатов Советов депутатов муниципальных образований городского и сельских поселений Старожиловского муниципального района Рязанской области 11 сентября 2022 года</w:t>
      </w:r>
      <w:r>
        <w:rPr>
          <w:b w:val="false"/>
        </w:rPr>
        <w:t>».</w:t>
      </w:r>
    </w:p>
    <w:p>
      <w:pPr>
        <w:pStyle w:val="Normal"/>
        <w:spacing w:lineRule="auto" w:line="360"/>
        <w:ind w:firstLine="720"/>
        <w:jc w:val="both"/>
        <w:rPr>
          <w:szCs w:val="28"/>
        </w:rPr>
      </w:pPr>
      <w:r>
        <w:rPr>
          <w:szCs w:val="28"/>
        </w:rPr>
        <w:t>10.</w:t>
        <w:tab/>
        <w:t xml:space="preserve">Утвердить распределение избирательных бюллетеней для голосования на выборах </w:t>
      </w:r>
      <w:r>
        <w:rPr>
          <w:rFonts w:eastAsia="Calibri"/>
          <w:lang w:eastAsia="en-US"/>
        </w:rPr>
        <w:t>главы</w:t>
      </w:r>
      <w:r>
        <w:rPr>
          <w:rFonts w:eastAsia="Calibri"/>
          <w:szCs w:val="28"/>
          <w:lang w:eastAsia="en-US"/>
        </w:rPr>
        <w:t xml:space="preserve"> муниципальн</w:t>
      </w:r>
      <w:r>
        <w:rPr>
          <w:rFonts w:eastAsia="Calibri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образовани</w:t>
      </w:r>
      <w:r>
        <w:rPr>
          <w:rFonts w:eastAsia="Calibri"/>
          <w:lang w:eastAsia="en-US"/>
        </w:rPr>
        <w:t>я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сельск</w:t>
      </w:r>
      <w:r>
        <w:rPr>
          <w:rFonts w:eastAsia="Calibri"/>
          <w:lang w:eastAsia="en-US"/>
        </w:rPr>
        <w:t>ого</w:t>
      </w:r>
      <w:r>
        <w:rPr>
          <w:rFonts w:eastAsia="Calibri"/>
          <w:szCs w:val="28"/>
          <w:lang w:eastAsia="en-US"/>
        </w:rPr>
        <w:t xml:space="preserve"> поселени</w:t>
      </w:r>
      <w:r>
        <w:rPr>
          <w:rFonts w:eastAsia="Calibri"/>
          <w:lang w:eastAsia="en-US"/>
        </w:rPr>
        <w:t xml:space="preserve">я </w:t>
      </w:r>
      <w:r>
        <w:rPr>
          <w:rFonts w:eastAsia="Calibri"/>
          <w:szCs w:val="28"/>
          <w:lang w:eastAsia="en-US"/>
        </w:rPr>
        <w:t xml:space="preserve"> Старожиловского муниципального района</w:t>
      </w:r>
      <w:r>
        <w:rPr>
          <w:rFonts w:eastAsia="Calibri"/>
          <w:lang w:eastAsia="en-US"/>
        </w:rPr>
        <w:t xml:space="preserve"> Рязанской области </w:t>
      </w:r>
      <w:r>
        <w:rPr>
          <w:szCs w:val="28"/>
        </w:rPr>
        <w:t>по участковым избирательным комиссиям избирательных участков №№ 683-698 (приложение №№ 1-8).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11.</w:t>
        <w:tab/>
        <w:t>Возложить контроль за выполнением настоящего решения на секретаря территориальной избирательной комиссии Старожиловского района Рязанской области Щукину О.В.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12.</w:t>
        <w:tab/>
        <w:t>Направить настоящее решение в участковые избирательные комиссии избирательных участков №№ 683-698.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13. Разместить настоящее решение на сайте территориальной избирательной комиссии Старожиловского района Рязанской области.</w:t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2161"/>
        <w:gridCol w:w="3190"/>
      </w:tblGrid>
      <w:tr>
        <w:trPr/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  <w:vAlign w:val="bottom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>
        <w:trPr>
          <w:trHeight w:val="150" w:hRule="atLeast"/>
        </w:trPr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4219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 территориальной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Старожиловского района Рязанской области</w:t>
            </w:r>
          </w:p>
        </w:tc>
        <w:tc>
          <w:tcPr>
            <w:tcW w:w="2161" w:type="dxa"/>
            <w:tcBorders/>
            <w:shd w:fill="auto" w:val="clear"/>
          </w:tcPr>
          <w:p>
            <w:pPr>
              <w:pStyle w:val="NoSpacing"/>
              <w:rPr>
                <w:rStyle w:val="Pagenumber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fill="auto" w:val="clear"/>
            <w:vAlign w:val="bottom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Щукина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1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                              депутатов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– Старожиловское городское поселение    Старожиловского муниципального района Рязанской области</w:t>
      </w:r>
      <w:r>
        <w:rPr>
          <w:b/>
          <w:sz w:val="26"/>
          <w:szCs w:val="26"/>
        </w:rPr>
        <w:t xml:space="preserve"> по участковым избирательным комиссиям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(многомандатный избирательный округ № 1)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683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1224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684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1433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2664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2650 </w:t>
            </w:r>
          </w:p>
        </w:tc>
      </w:tr>
    </w:tbl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2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                              депутатов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– Старожиловское городское поселение    Старожиловского муниципального района Рязанской области</w:t>
      </w:r>
      <w:r>
        <w:rPr>
          <w:b/>
          <w:sz w:val="26"/>
          <w:szCs w:val="26"/>
        </w:rPr>
        <w:t xml:space="preserve"> по участковым избирательным комиссиям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(многомандатный избирательный округ № 2)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685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1601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686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687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688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2396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pBdr/>
              <w:jc w:val="center"/>
              <w:rPr>
                <w:rStyle w:val="Pagenumber"/>
              </w:rPr>
            </w:pPr>
            <w:r>
              <w:rPr>
                <w:b/>
                <w:sz w:val="26"/>
                <w:szCs w:val="26"/>
              </w:rPr>
              <w:t xml:space="preserve">2390 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851" w:header="567" w:top="1134" w:footer="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3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депутатов                               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- Гребневское сельское поселение  Старожиловского муниципального района Рязанской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участковым избирательным комиссиям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689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УИК № 690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УИК № 691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1231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</w:tr>
    </w:tbl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4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депутатов                               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- Гулынское сельское поселение  Старожиловского муниципального района Рязанской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участковым избирательным комиссиям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692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</w:tbl>
    <w:p>
      <w:pPr>
        <w:pStyle w:val="Normal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bookmarkStart w:id="0" w:name="_GoBack"/>
      <w:bookmarkStart w:id="1" w:name="_GoBack"/>
      <w:bookmarkEnd w:id="1"/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5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депутатов                               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- Истьинское сельское поселение  Старожиловского муниципального района Рязанской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участковым избирательным комиссиям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693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</w:t>
            </w:r>
          </w:p>
        </w:tc>
      </w:tr>
    </w:tbl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6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депутатов                               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- Ленинское сельское поселение  Старожиловского муниципального района Рязанской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участковым избирательным комиссиям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694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695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1541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1530</w:t>
            </w:r>
          </w:p>
        </w:tc>
      </w:tr>
    </w:tbl>
    <w:p>
      <w:pPr>
        <w:pStyle w:val="Normal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7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депутатов                               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- Мелекшинское сельское поселение  Старожиловского муниципального района Рязанской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участковым избирательным комиссиям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696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УИК № 697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909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900</w:t>
            </w:r>
          </w:p>
        </w:tc>
      </w:tr>
    </w:tbl>
    <w:p>
      <w:pPr>
        <w:pStyle w:val="Normal"/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5664" w:firstLine="708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Приложение № 8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УТВЕРЖДЕНО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решением территориальной избирательной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комиссии Старожиловского района Рязанской области</w:t>
      </w:r>
    </w:p>
    <w:p>
      <w:pPr>
        <w:pStyle w:val="Normal"/>
        <w:ind w:left="4820" w:hanging="0"/>
        <w:jc w:val="right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>от 05 августа  2022 года № 45/319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Распределение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избирательных бюллетеней для голосования на выборах                               депутатов </w:t>
      </w:r>
      <w:r>
        <w:rPr>
          <w:rFonts w:eastAsia="Calibri"/>
          <w:b/>
          <w:sz w:val="26"/>
          <w:szCs w:val="26"/>
          <w:lang w:eastAsia="en-US"/>
        </w:rPr>
        <w:t>Совета депутатов муниципального образования - Столпянское сельское поселение  Старожиловского муниципального района Рязанской области</w:t>
      </w:r>
      <w:r>
        <w:rPr>
          <w:b/>
          <w:sz w:val="26"/>
          <w:szCs w:val="26"/>
        </w:rPr>
        <w:t xml:space="preserve"> по участковым избирательным комиссиям</w:t>
      </w:r>
    </w:p>
    <w:p>
      <w:pPr>
        <w:pStyle w:val="Normal"/>
        <w:rPr>
          <w:rFonts w:ascii="Times New Roman CYR" w:hAnsi="Times New Roman CYR" w:cs="Times New Roman CYR"/>
          <w:b/>
          <w:b/>
          <w:bCs/>
          <w:sz w:val="24"/>
        </w:rPr>
      </w:pPr>
      <w:r>
        <w:rPr>
          <w:rFonts w:cs="Times New Roman CYR" w:ascii="Times New Roman CYR" w:hAnsi="Times New Roman CYR"/>
          <w:b/>
          <w:bCs/>
          <w:sz w:val="24"/>
        </w:rPr>
      </w:r>
    </w:p>
    <w:tbl>
      <w:tblPr>
        <w:tblW w:w="9229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0" w:type="dxa"/>
          <w:right w:w="15" w:type="dxa"/>
        </w:tblCellMar>
        <w:tblLook w:val="0000"/>
      </w:tblPr>
      <w:tblGrid>
        <w:gridCol w:w="3557"/>
        <w:gridCol w:w="2553"/>
        <w:gridCol w:w="3119"/>
      </w:tblGrid>
      <w:tr>
        <w:trPr>
          <w:trHeight w:val="755" w:hRule="atLeast"/>
        </w:trPr>
        <w:tc>
          <w:tcPr>
            <w:tcW w:w="3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участковой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избирательной комиссии 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01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  <w:r>
              <w:rPr>
                <w:b/>
                <w:bCs/>
                <w:sz w:val="26"/>
                <w:szCs w:val="26"/>
              </w:rPr>
              <w:t>7.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избирательных бюллетеней</w:t>
            </w:r>
          </w:p>
        </w:tc>
      </w:tr>
      <w:tr>
        <w:trPr>
          <w:trHeight w:val="755" w:hRule="atLeast"/>
        </w:trPr>
        <w:tc>
          <w:tcPr>
            <w:tcW w:w="355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55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число бюллетеней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УИК № 698 </w:t>
            </w:r>
          </w:p>
        </w:tc>
        <w:tc>
          <w:tcPr>
            <w:tcW w:w="25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</w:t>
            </w:r>
          </w:p>
        </w:tc>
        <w:tc>
          <w:tcPr>
            <w:tcW w:w="31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</w:tr>
      <w:tr>
        <w:trPr>
          <w:trHeight w:val="284" w:hRule="atLeast"/>
        </w:trPr>
        <w:tc>
          <w:tcPr>
            <w:tcW w:w="3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ind w:first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860</w:t>
            </w:r>
          </w:p>
        </w:tc>
        <w:tc>
          <w:tcPr>
            <w:tcW w:w="311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850</w:t>
            </w:r>
          </w:p>
        </w:tc>
      </w:tr>
    </w:tbl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18"/>
          <w:szCs w:val="28"/>
        </w:rPr>
      </w:pPr>
      <w:r>
        <w:rPr>
          <w:rFonts w:cs="Times New Roman" w:ascii="Times New Roman" w:hAnsi="Times New Roman"/>
          <w:b w:val="false"/>
          <w:sz w:val="18"/>
          <w:szCs w:val="28"/>
        </w:rPr>
      </w:r>
    </w:p>
    <w:p>
      <w:pPr>
        <w:pStyle w:val="ConsPlusTitle"/>
        <w:widowControl/>
        <w:rPr/>
      </w:pPr>
      <w:r>
        <w:rPr/>
      </w:r>
    </w:p>
    <w:sectPr>
      <w:headerReference w:type="default" r:id="rId3"/>
      <w:type w:val="nextPage"/>
      <w:pgSz w:w="11906" w:h="16838"/>
      <w:pgMar w:left="1701" w:right="851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6.1pt;mso-wrap-distance-left:0pt;mso-wrap-distance-right:0pt;mso-wrap-distance-top:0pt;mso-wrap-distance-bottom:0pt;margin-top:0.05pt;mso-position-vertical-relative:text;margin-left:230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352810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ba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6c3881"/>
    <w:pPr>
      <w:keepNext w:val="true"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4">
    <w:name w:val="Heading 4"/>
    <w:basedOn w:val="Normal"/>
    <w:link w:val="40"/>
    <w:semiHidden/>
    <w:unhideWhenUsed/>
    <w:qFormat/>
    <w:rsid w:val="00ac3dad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link w:val="ac"/>
    <w:qFormat/>
    <w:rsid w:val="004a30a2"/>
    <w:rPr>
      <w:sz w:val="28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4a30a2"/>
    <w:rPr>
      <w:sz w:val="28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6c3881"/>
    <w:rPr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6c3881"/>
    <w:rPr>
      <w:rFonts w:eastAsia="Arial Unicode MS"/>
      <w:b/>
      <w:bCs/>
      <w:sz w:val="40"/>
      <w:szCs w:val="24"/>
    </w:rPr>
  </w:style>
  <w:style w:type="character" w:styleId="Pagenumber">
    <w:name w:val="page number"/>
    <w:basedOn w:val="DefaultParagraphFont"/>
    <w:unhideWhenUsed/>
    <w:qFormat/>
    <w:rsid w:val="006c3881"/>
    <w:rPr>
      <w:rFonts w:cs="Times New Roman"/>
    </w:rPr>
  </w:style>
  <w:style w:type="character" w:styleId="Style14" w:customStyle="1">
    <w:name w:val="Название Знак"/>
    <w:basedOn w:val="DefaultParagraphFont"/>
    <w:link w:val="af0"/>
    <w:qFormat/>
    <w:rsid w:val="006c3881"/>
    <w:rPr>
      <w:sz w:val="28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ac3da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8"/>
    </w:rPr>
  </w:style>
  <w:style w:type="character" w:styleId="2" w:customStyle="1">
    <w:name w:val="Основной текст с отступом 2 Знак"/>
    <w:basedOn w:val="DefaultParagraphFont"/>
    <w:link w:val="2"/>
    <w:semiHidden/>
    <w:qFormat/>
    <w:rsid w:val="00ac3dad"/>
    <w:rPr>
      <w:sz w:val="28"/>
    </w:rPr>
  </w:style>
  <w:style w:type="character" w:styleId="21" w:customStyle="1">
    <w:name w:val="Основной текст 2 Знак"/>
    <w:basedOn w:val="DefaultParagraphFont"/>
    <w:link w:val="21"/>
    <w:semiHidden/>
    <w:qFormat/>
    <w:rsid w:val="00ac3dad"/>
    <w:rPr>
      <w:sz w:val="28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697ba1"/>
    <w:pPr>
      <w:spacing w:lineRule="exact" w:line="360"/>
      <w:ind w:firstLine="720"/>
      <w:jc w:val="both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Адресат"/>
    <w:basedOn w:val="Normal"/>
    <w:qFormat/>
    <w:rsid w:val="00697ba1"/>
    <w:pPr>
      <w:suppressAutoHyphens w:val="true"/>
      <w:spacing w:lineRule="exact" w:line="240" w:before="0" w:after="120"/>
    </w:pPr>
    <w:rPr/>
  </w:style>
  <w:style w:type="paragraph" w:styleId="Style21" w:customStyle="1">
    <w:name w:val="Приложение"/>
    <w:basedOn w:val="Style16"/>
    <w:qFormat/>
    <w:rsid w:val="00697ba1"/>
    <w:pPr>
      <w:tabs>
        <w:tab w:val="left" w:pos="1673" w:leader="none"/>
      </w:tabs>
      <w:spacing w:lineRule="exact" w:line="240" w:before="240" w:after="140"/>
      <w:ind w:left="1985" w:hanging="1985"/>
    </w:pPr>
    <w:rPr/>
  </w:style>
  <w:style w:type="paragraph" w:styleId="Style22" w:customStyle="1">
    <w:name w:val="Заголовок к тексту"/>
    <w:basedOn w:val="Normal"/>
    <w:qFormat/>
    <w:rsid w:val="00697ba1"/>
    <w:pPr>
      <w:suppressAutoHyphens w:val="true"/>
      <w:spacing w:lineRule="exact" w:line="240" w:before="0" w:after="480"/>
    </w:pPr>
    <w:rPr>
      <w:b/>
    </w:rPr>
  </w:style>
  <w:style w:type="paragraph" w:styleId="Style23">
    <w:name w:val="Header"/>
    <w:basedOn w:val="Normal"/>
    <w:link w:val="a8"/>
    <w:uiPriority w:val="99"/>
    <w:rsid w:val="00697ba1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697ba1"/>
    <w:pPr>
      <w:tabs>
        <w:tab w:val="center" w:pos="4677" w:leader="none"/>
        <w:tab w:val="right" w:pos="9355" w:leader="none"/>
      </w:tabs>
    </w:pPr>
    <w:rPr/>
  </w:style>
  <w:style w:type="paragraph" w:styleId="Style25" w:customStyle="1">
    <w:name w:val="Исполнитель"/>
    <w:basedOn w:val="Style16"/>
    <w:qFormat/>
    <w:rsid w:val="00697ba1"/>
    <w:pPr>
      <w:suppressAutoHyphens w:val="true"/>
      <w:spacing w:lineRule="exact" w:line="240" w:before="0" w:after="120"/>
      <w:ind w:hanging="0"/>
      <w:jc w:val="left"/>
    </w:pPr>
    <w:rPr>
      <w:sz w:val="24"/>
    </w:rPr>
  </w:style>
  <w:style w:type="paragraph" w:styleId="BalloonText">
    <w:name w:val="Balloon Text"/>
    <w:basedOn w:val="Normal"/>
    <w:semiHidden/>
    <w:qFormat/>
    <w:rsid w:val="00495080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ad"/>
    <w:rsid w:val="004a30a2"/>
    <w:pPr>
      <w:spacing w:before="0" w:after="120"/>
      <w:ind w:left="283" w:hanging="0"/>
    </w:pPr>
    <w:rPr/>
  </w:style>
  <w:style w:type="paragraph" w:styleId="ConsPlusNormal" w:customStyle="1">
    <w:name w:val="ConsPlusNormal"/>
    <w:qFormat/>
    <w:rsid w:val="004a30a2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4a30a2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28"/>
      <w:szCs w:val="20"/>
      <w:lang w:val="ru-RU" w:eastAsia="ru-RU" w:bidi="ar-SA"/>
    </w:rPr>
  </w:style>
  <w:style w:type="paragraph" w:styleId="ConsNonformat" w:customStyle="1">
    <w:name w:val="ConsNonformat"/>
    <w:qFormat/>
    <w:rsid w:val="004a30a2"/>
    <w:pPr>
      <w:widowControl w:val="false"/>
      <w:overflowPunct w:val="true"/>
      <w:bidi w:val="0"/>
      <w:ind w:right="19772" w:hanging="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qFormat/>
    <w:rsid w:val="006c3881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6c3881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7">
    <w:name w:val="Title"/>
    <w:basedOn w:val="Normal"/>
    <w:link w:val="af1"/>
    <w:qFormat/>
    <w:rsid w:val="006c3881"/>
    <w:pPr>
      <w:suppressAutoHyphens w:val="true"/>
      <w:jc w:val="center"/>
    </w:pPr>
    <w:rPr>
      <w:szCs w:val="24"/>
    </w:rPr>
  </w:style>
  <w:style w:type="paragraph" w:styleId="ListParagraph">
    <w:name w:val="List Paragraph"/>
    <w:basedOn w:val="Normal"/>
    <w:uiPriority w:val="34"/>
    <w:qFormat/>
    <w:rsid w:val="009d05bb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20"/>
    <w:semiHidden/>
    <w:unhideWhenUsed/>
    <w:qFormat/>
    <w:rsid w:val="00ac3dad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22"/>
    <w:semiHidden/>
    <w:unhideWhenUsed/>
    <w:qFormat/>
    <w:rsid w:val="00ac3dad"/>
    <w:pPr>
      <w:spacing w:lineRule="auto" w:line="480" w:before="0" w:after="120"/>
    </w:pPr>
    <w:rPr/>
  </w:style>
  <w:style w:type="paragraph" w:styleId="7" w:customStyle="1">
    <w:name w:val="заголовок 7"/>
    <w:basedOn w:val="Normal"/>
    <w:qFormat/>
    <w:rsid w:val="001466e9"/>
    <w:pPr>
      <w:keepNext w:val="true"/>
      <w:widowControl w:val="false"/>
      <w:jc w:val="center"/>
    </w:pPr>
    <w:rPr>
      <w:b/>
      <w:bCs/>
      <w:szCs w:val="28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b70f6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E91B-B42D-40A2-8AC6-4D2D4BEC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155</TotalTime>
  <Application>LibreOffice/5.4.5.1$Windows_X86_64 LibreOffice_project/79c9829dd5d8054ec39a82dc51cd9eff340dbee8</Application>
  <Pages>7</Pages>
  <Words>1096</Words>
  <Characters>8300</Characters>
  <CharactersWithSpaces>9541</CharactersWithSpaces>
  <Paragraphs>223</Paragraphs>
  <Company>XXXXX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2021-08-09T08:39:00Z</dcterms:created>
  <dc:creator>Смертин Александр Николаевич</dc:creator>
  <dc:description/>
  <dc:language>ru-RU</dc:language>
  <cp:lastModifiedBy/>
  <cp:lastPrinted>2022-08-09T15:58:00Z</cp:lastPrinted>
  <dcterms:modified xsi:type="dcterms:W3CDTF">2022-08-31T09:41:52Z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