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ТЕРРИТОРИАЛЬНАЯ  ИЗБИРАТЕЛЬНАЯ  КОМИССИЯ СТАРОЖИЛОВСКОГО 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23" w:type="dxa"/>
        <w:jc w:val="left"/>
        <w:tblInd w:w="-25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0"/>
        <w:gridCol w:w="3360"/>
        <w:gridCol w:w="3103"/>
      </w:tblGrid>
      <w:tr>
        <w:trPr/>
        <w:tc>
          <w:tcPr>
            <w:tcW w:w="336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 2022 года</w:t>
            </w:r>
          </w:p>
        </w:tc>
        <w:tc>
          <w:tcPr>
            <w:tcW w:w="336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162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320" w:type="dxa"/>
        <w:jc w:val="left"/>
        <w:tblInd w:w="118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20"/>
      </w:tblGrid>
      <w:tr>
        <w:trPr/>
        <w:tc>
          <w:tcPr>
            <w:tcW w:w="732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заверении Списка кандидатов в депутаты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Старожиловское городское поселение Старожиловского муниципального района Рязанской области пятого созыва по многомандатным избирательным округам  №1-№ 2,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выдвинутых</w:t>
            </w:r>
            <w:r>
              <w:rPr>
                <w:sz w:val="28"/>
                <w:szCs w:val="28"/>
                <w:lang w:eastAsia="ar-SA"/>
              </w:rPr>
              <w:t xml:space="preserve"> избирательным объединением</w:t>
            </w:r>
            <w:r>
              <w:rPr>
                <w:lang w:eastAsia="ar-SA"/>
              </w:rPr>
              <w:t xml:space="preserve"> «</w:t>
            </w:r>
            <w:r>
              <w:rPr>
                <w:sz w:val="28"/>
                <w:szCs w:val="28"/>
                <w:lang w:eastAsia="ar-SA"/>
              </w:rPr>
              <w:t xml:space="preserve">Рязанское региональное отделение Политической партии ЛДПР – Либерально-демократической партии России» 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уполномоченным представителем избирательного объединения «Рязанское региональное отделение Политической партии ЛДПР – Либерально-демократической партии России» Володиным Дмитрием Юрьевичем в соответствии со статьей 30 Закона Рязанской области от 05 августа 2011 г. № 63-ОЗ  «О выборах депутатов представительного органа муниципального образования в Рязанской области», необходимые для заверения Списка кандидатов в депутаты Совета депутатов муниципального образования – Старожиловское городское поселение Старожиловского муниципального района Рязанской области пятого созыва по многомандатным избирательным округам №1-№ 2, выдвинутых избирательным объединением «Рязанское региональное отделение Политической партии ЛДПР – Либерально-демократической партии России», во исполнение части 6 статьи 30 Закона Рязанской области от 05 августа 2011 г. № 63-ОЗ  «О выборах депутатов представительного органа муниципального образования в Рязанской области», территориальная избирательная комиссия Старожиловского района</w:t>
      </w:r>
      <w:r>
        <w:rPr>
          <w:spacing w:val="40"/>
          <w:sz w:val="28"/>
          <w:szCs w:val="28"/>
        </w:rPr>
        <w:t xml:space="preserve"> 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Заверить Список кандидатов в депутаты Совета депутатов муниципального образования – Старожиловское городское поселение Старожиловского муниципального района Рязанской области по многомандатным избирательным округам №1-№2, выдвинутых</w:t>
      </w:r>
      <w:r>
        <w:rPr>
          <w:lang w:eastAsia="ar-SA"/>
        </w:rPr>
        <w:t xml:space="preserve"> </w:t>
      </w:r>
      <w:r>
        <w:rPr>
          <w:sz w:val="28"/>
          <w:szCs w:val="28"/>
        </w:rPr>
        <w:t>избирательным объединением «Рязанское региональное отделение Политической партии ЛДПР – Либерально-демократической партии России» (прилагается).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Выдать уполномоченному представителю избирательного объединения «Рязанское региональное отделение Политической партии ЛДПР – Либерально-демократической партии России» Володину Дмитрию Юрьевичу копии настоящего решения и заверенного Списка кандидатов в депутаты Совета депутатов муниципального образования – Старожиловское городское поселение Старожиловского муниципального района Рязанской области по многомандатным избирательным округам №1-№2, выдвинутых</w:t>
      </w:r>
      <w:r>
        <w:rPr>
          <w:lang w:eastAsia="ar-SA"/>
        </w:rPr>
        <w:t xml:space="preserve"> </w:t>
      </w:r>
      <w:r>
        <w:rPr>
          <w:sz w:val="28"/>
          <w:szCs w:val="28"/>
        </w:rPr>
        <w:t>избирательным объединением «Рязанское региональное отделение Политической партии ЛДПР – Либерально-демократической партии России».</w:t>
      </w:r>
    </w:p>
    <w:p>
      <w:pPr>
        <w:pStyle w:val="Normal"/>
        <w:spacing w:lineRule="auto" w:line="360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Опубликовать данное решение в общественно - политической газете Старожиловского района Рязанской области «Старожиловские просторы» и   разместить на сайте территориальной избирательной комиссии Старожиловского района Рязанской области.</w:t>
      </w:r>
    </w:p>
    <w:p>
      <w:pPr>
        <w:pStyle w:val="Normal"/>
        <w:spacing w:lineRule="auto" w:line="360"/>
        <w:ind w:firstLine="708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секретаря территориальной избирательной комиссии Старожиловского района Рязанской области О.В. Щукину.</w:t>
      </w:r>
    </w:p>
    <w:p>
      <w:pPr>
        <w:pStyle w:val="BodyTextIndent2"/>
        <w:spacing w:lineRule="auto" w:line="360"/>
        <w:rPr/>
      </w:pPr>
      <w:r>
        <w:rPr/>
      </w:r>
    </w:p>
    <w:p>
      <w:pPr>
        <w:pStyle w:val="Normal"/>
        <w:spacing w:lineRule="auto" w:line="36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2161"/>
        <w:gridCol w:w="3190"/>
      </w:tblGrid>
      <w:tr>
        <w:trPr/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>
            <w:pPr>
              <w:pStyle w:val="Normal"/>
              <w:jc w:val="both"/>
              <w:rPr>
                <w:rStyle w:val="Pagenumber"/>
              </w:rPr>
            </w:pPr>
            <w:r>
              <w:rPr>
                <w:sz w:val="28"/>
                <w:szCs w:val="28"/>
              </w:rPr>
              <w:t>Старожиловского района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jc w:val="both"/>
              <w:rPr>
                <w:rStyle w:val="Pagenumber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fill="auto" w:val="clear"/>
            <w:vAlign w:val="bottom"/>
          </w:tcPr>
          <w:p>
            <w:pPr>
              <w:pStyle w:val="Normal"/>
              <w:rPr>
                <w:rStyle w:val="Pagenumber"/>
              </w:rPr>
            </w:pPr>
            <w:r>
              <w:rPr>
                <w:sz w:val="28"/>
                <w:szCs w:val="28"/>
              </w:rPr>
              <w:t>Н.В. Ашуркова</w:t>
            </w:r>
          </w:p>
        </w:tc>
      </w:tr>
      <w:tr>
        <w:trPr/>
        <w:tc>
          <w:tcPr>
            <w:tcW w:w="4219" w:type="dxa"/>
            <w:tcBorders/>
            <w:shd w:fill="auto" w:val="clear"/>
          </w:tcPr>
          <w:p>
            <w:pPr>
              <w:pStyle w:val="Normal"/>
              <w:jc w:val="both"/>
              <w:rPr>
                <w:rStyle w:val="Pagenumber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jc w:val="both"/>
              <w:rPr>
                <w:rStyle w:val="Pagenumber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1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>
            <w:pPr>
              <w:pStyle w:val="Normal"/>
              <w:jc w:val="both"/>
              <w:rPr>
                <w:rStyle w:val="Pagenumber"/>
              </w:rPr>
            </w:pPr>
            <w:r>
              <w:rPr>
                <w:sz w:val="28"/>
                <w:szCs w:val="28"/>
              </w:rPr>
              <w:t>Старожиловского района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rmal"/>
              <w:jc w:val="both"/>
              <w:rPr>
                <w:rStyle w:val="Pagenumber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Щукина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16"/>
        <w:rPr/>
      </w:pPr>
      <w:r>
        <w:rPr/>
      </w:r>
    </w:p>
    <w:tbl>
      <w:tblPr>
        <w:tblW w:w="147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6"/>
        <w:gridCol w:w="5889"/>
      </w:tblGrid>
      <w:tr>
        <w:trPr/>
        <w:tc>
          <w:tcPr>
            <w:tcW w:w="889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8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ЗАВЕРЕН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решением территориальной избирательной комиссии Старожиловского района Рязанской области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от </w:t>
            </w:r>
            <w:r>
              <w:rPr>
                <w:lang w:val="en-US"/>
              </w:rPr>
              <w:t xml:space="preserve"> </w:t>
            </w:r>
            <w:r>
              <w:rPr/>
              <w:t>20</w:t>
            </w:r>
            <w:r>
              <w:rPr>
                <w:lang w:val="en-US"/>
              </w:rPr>
              <w:t xml:space="preserve"> </w:t>
            </w:r>
            <w:r>
              <w:rPr/>
              <w:t>июля 2022 года № 36/162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кандидатов в депутаты Совета депутатов муниципального образования – Старожиловское городское поселение Старожиловского муниципального района Рязанской области пятого созыва по многомандатному избирательному округу  № 2, выдвинутых избирательным объединением «Рязанское региональное отделение Политической партии ЛДПР – Либерально-демократической партии России»</w:t>
      </w:r>
    </w:p>
    <w:p>
      <w:pPr>
        <w:pStyle w:val="Normal"/>
        <w:widowControl w:val="false"/>
        <w:suppressAutoHyphens w:val="true"/>
        <w:jc w:val="center"/>
        <w:rPr>
          <w:lang w:eastAsia="ar-SA"/>
        </w:rPr>
      </w:pPr>
      <w:r>
        <w:rPr>
          <w:lang w:eastAsia="ar-SA"/>
        </w:rPr>
      </w:r>
    </w:p>
    <w:tbl>
      <w:tblPr>
        <w:tblW w:w="15240" w:type="dxa"/>
        <w:jc w:val="lef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1"/>
        <w:gridCol w:w="2835"/>
        <w:gridCol w:w="1559"/>
        <w:gridCol w:w="2127"/>
        <w:gridCol w:w="2693"/>
        <w:gridCol w:w="3397"/>
        <w:gridCol w:w="2127"/>
      </w:tblGrid>
      <w:tr>
        <w:trPr>
          <w:trHeight w:val="1720" w:hRule="atLeast"/>
          <w:cantSplit w:val="true"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Фамилия, имя,  отчество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Число, месяц, год рождения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Место рождения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Адрес места жительства</w:t>
            </w:r>
          </w:p>
        </w:tc>
        <w:tc>
          <w:tcPr>
            <w:tcW w:w="33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многомандатного избирательного округа, по которому выдвигается кандидат</w:t>
            </w:r>
          </w:p>
        </w:tc>
      </w:tr>
      <w:tr>
        <w:trPr>
          <w:trHeight w:val="329" w:hRule="atLeast"/>
          <w:cantSplit w:val="true"/>
        </w:trPr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Некрасов Виталий Викторович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1962 г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гор. Рязань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Рязанская область, Старожиловский район, дер. Муняково, 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eastAsia="ar-SA"/>
              </w:rPr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723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tabs>
                <w:tab w:val="left" w:pos="723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Многомандатный избирательный округ №1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ЧИКИН ЭДУАРД ВЛАДИМИРОВИЧ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1967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ДЕР. ЧЕРЕЗОВО-ПЕСОЧНЯ РЯЗАНСКОГО Р-НА РЯЗАНСКОЙ ОБЛ.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2"/>
                <w:szCs w:val="22"/>
                <w:lang w:eastAsia="ar-SA"/>
              </w:rPr>
              <w:t xml:space="preserve">РЯЗАНСКАЯ ОБЛ., ГОР. РЯЗАНЬ, 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/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eastAsia="ar-SA"/>
              </w:rPr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723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tabs>
                <w:tab w:val="left" w:pos="723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Многомандатный избирательный округ №2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uppressAutoHyphens w:val="true"/>
        <w:jc w:val="center"/>
        <w:rPr>
          <w:lang w:eastAsia="ar-SA"/>
        </w:rPr>
      </w:pPr>
      <w:r>
        <w:rPr>
          <w:lang w:eastAsia="ar-SA"/>
        </w:rPr>
      </w:r>
    </w:p>
    <w:tbl>
      <w:tblPr>
        <w:tblW w:w="1428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6804"/>
        <w:gridCol w:w="3260"/>
      </w:tblGrid>
      <w:tr>
        <w:trPr/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>
            <w:pPr>
              <w:pStyle w:val="Normal"/>
              <w:rPr>
                <w:rStyle w:val="Pagenumber"/>
              </w:rPr>
            </w:pPr>
            <w:r>
              <w:rPr>
                <w:sz w:val="28"/>
                <w:szCs w:val="28"/>
              </w:rPr>
              <w:t>Старожиловского района Рязанской области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jc w:val="both"/>
              <w:rPr>
                <w:rStyle w:val="Pagenumber"/>
                <w:sz w:val="28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rStyle w:val="Pagenumber"/>
              </w:rPr>
            </w:pPr>
            <w:r>
              <w:rPr>
                <w:sz w:val="28"/>
                <w:szCs w:val="28"/>
              </w:rPr>
              <w:t>Н.В. Ашуркова</w:t>
            </w:r>
          </w:p>
        </w:tc>
      </w:tr>
    </w:tbl>
    <w:p>
      <w:pPr>
        <w:pStyle w:val="Normal"/>
        <w:spacing w:lineRule="auto" w:line="360"/>
        <w:ind w:firstLine="708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ac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610acf"/>
    <w:pPr>
      <w:keepNext w:val="true"/>
      <w:jc w:val="center"/>
      <w:outlineLvl w:val="0"/>
    </w:pPr>
    <w:rPr>
      <w:rFonts w:eastAsia="Arial Unicode MS"/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10acf"/>
    <w:rPr>
      <w:rFonts w:ascii="Times New Roman" w:hAnsi="Times New Roman" w:eastAsia="Arial Unicode MS" w:cs="Times New Roman"/>
      <w:b/>
      <w:bCs/>
      <w:sz w:val="40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uiPriority w:val="99"/>
    <w:qFormat/>
    <w:rsid w:val="00610acf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610acf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883568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qFormat/>
    <w:rsid w:val="00883568"/>
    <w:rPr>
      <w:rFonts w:cs="Times New Roman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e30fd9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610acf"/>
    <w:pPr>
      <w:jc w:val="center"/>
    </w:pPr>
    <w:rPr>
      <w:b/>
      <w:bCs/>
      <w:sz w:val="32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610acf"/>
    <w:pPr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883568"/>
    <w:pPr>
      <w:spacing w:lineRule="auto" w:line="480" w:before="0" w:after="120"/>
      <w:ind w:left="283" w:hanging="0"/>
    </w:pPr>
    <w:rPr/>
  </w:style>
  <w:style w:type="paragraph" w:styleId="NoSpacing">
    <w:name w:val="No Spacing"/>
    <w:uiPriority w:val="1"/>
    <w:qFormat/>
    <w:rsid w:val="00883568"/>
    <w:pPr>
      <w:widowControl/>
      <w:bidi w:val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e30fd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A4C3-5CC9-489E-BBCE-2DEF9AB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LibreOffice/5.4.5.1$Windows_X86_64 LibreOffice_project/79c9829dd5d8054ec39a82dc51cd9eff340dbee8</Application>
  <Pages>4</Pages>
  <Words>465</Words>
  <Characters>3839</Characters>
  <CharactersWithSpaces>4294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2022-07-19T16:33:00Z</dcterms:created>
  <dc:creator>admin</dc:creator>
  <dc:description/>
  <dc:language>ru-RU</dc:language>
  <cp:lastModifiedBy/>
  <cp:lastPrinted>2022-07-29T09:14:00Z</cp:lastPrinted>
  <dcterms:modified xsi:type="dcterms:W3CDTF">2022-07-30T22:30:25Z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